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66222" w14:textId="4B8847C6" w:rsidR="00C765B6" w:rsidRPr="00C765B6" w:rsidRDefault="00C765B6">
      <w:pPr>
        <w:rPr>
          <w:b/>
          <w:color w:val="FF0000"/>
        </w:rPr>
      </w:pPr>
      <w:r w:rsidRPr="00C765B6">
        <w:rPr>
          <w:b/>
          <w:color w:val="FF0000"/>
        </w:rPr>
        <w:t>karta dla: szkół ponadpodstawowych</w:t>
      </w:r>
    </w:p>
    <w:p w14:paraId="7F1D3E55" w14:textId="46364F32" w:rsidR="00BC258F" w:rsidRDefault="00BC258F">
      <w:pPr>
        <w:rPr>
          <w:color w:val="FF0000"/>
        </w:rPr>
      </w:pPr>
      <w:r w:rsidRPr="00672DC7">
        <w:rPr>
          <w:noProof/>
          <w:lang w:eastAsia="pl-PL"/>
        </w:rPr>
        <w:drawing>
          <wp:inline distT="0" distB="0" distL="0" distR="0" wp14:anchorId="3E875D57" wp14:editId="75F44A1A">
            <wp:extent cx="2781300" cy="3352800"/>
            <wp:effectExtent l="0" t="0" r="0" b="0"/>
            <wp:docPr id="1" name="Obraz 1" descr="Zdjęcie tapiserii figuralnej &quot;Życie wieczne&quot;, pocz. XVII wieku" title="Tapise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pluciniczak\Downloads\Tapiseria figuraln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9" t="9597" r="1719" b="8409"/>
                    <a:stretch/>
                  </pic:blipFill>
                  <pic:spPr bwMode="auto">
                    <a:xfrm>
                      <a:off x="0" y="0"/>
                      <a:ext cx="2781371" cy="3352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FED2CD4" w14:textId="2C8909F5" w:rsidR="003B6445" w:rsidRPr="003B6445" w:rsidRDefault="003B6445">
      <w:pPr>
        <w:rPr>
          <w:color w:val="FF0000"/>
        </w:rPr>
      </w:pPr>
      <w:r w:rsidRPr="003B6445">
        <w:rPr>
          <w:color w:val="FF0000"/>
        </w:rPr>
        <w:t xml:space="preserve">[uwagi do graficznej formy karty: całe pole karty wypełnia przerysowana z tapiserii bordiura, może mieć charakter nieco uproszczony; cztery pola </w:t>
      </w:r>
      <w:r w:rsidR="00175885">
        <w:rPr>
          <w:color w:val="FF0000"/>
        </w:rPr>
        <w:t xml:space="preserve">z </w:t>
      </w:r>
      <w:r w:rsidRPr="003B6445">
        <w:rPr>
          <w:color w:val="FF0000"/>
        </w:rPr>
        <w:t>postaciami kobiet -  personifikacjami</w:t>
      </w:r>
      <w:r w:rsidR="00175885">
        <w:rPr>
          <w:color w:val="FF0000"/>
        </w:rPr>
        <w:t xml:space="preserve"> -</w:t>
      </w:r>
      <w:r w:rsidRPr="003B6445">
        <w:rPr>
          <w:color w:val="FF0000"/>
        </w:rPr>
        <w:t xml:space="preserve"> są nieco inaczej rozwiązane – reprodukujemy wycięte ze zdjęcia fragmenty tapiserii, mogą być w wersji czarno-białej</w:t>
      </w:r>
      <w:r w:rsidR="00175885">
        <w:rPr>
          <w:color w:val="FF0000"/>
        </w:rPr>
        <w:t>,</w:t>
      </w:r>
      <w:r w:rsidRPr="003B6445">
        <w:rPr>
          <w:color w:val="FF0000"/>
        </w:rPr>
        <w:t xml:space="preserve"> aby lepiej za pomocą kontrastu uczytelnić detale</w:t>
      </w:r>
      <w:r w:rsidR="00175885">
        <w:rPr>
          <w:color w:val="FF0000"/>
        </w:rPr>
        <w:t>.</w:t>
      </w:r>
    </w:p>
    <w:p w14:paraId="68DD94DC" w14:textId="77777777" w:rsidR="003B6445" w:rsidRPr="003B6445" w:rsidRDefault="003B6445">
      <w:pPr>
        <w:rPr>
          <w:color w:val="FF0000"/>
        </w:rPr>
      </w:pPr>
      <w:r w:rsidRPr="003B6445">
        <w:rPr>
          <w:color w:val="FF0000"/>
        </w:rPr>
        <w:t>Teksty (za wyjątkiem nagłówka z tytułem dzieła/karty pracy) znajdują się wewnątrz; tam też przerysowane i nieco powiększone motywy atrybutów (przerysowane mają stanowić pomoc</w:t>
      </w:r>
      <w:r w:rsidR="00175885">
        <w:rPr>
          <w:color w:val="FF0000"/>
        </w:rPr>
        <w:t>,</w:t>
      </w:r>
      <w:r w:rsidRPr="003B6445">
        <w:rPr>
          <w:color w:val="FF0000"/>
        </w:rPr>
        <w:t xml:space="preserve"> jeśli na zdjęciach trudno byłoby rozpoznać przedmioty]</w:t>
      </w:r>
      <w:r w:rsidR="00175885">
        <w:rPr>
          <w:color w:val="FF0000"/>
        </w:rPr>
        <w:t>.</w:t>
      </w:r>
    </w:p>
    <w:p w14:paraId="17A49F94" w14:textId="77777777" w:rsidR="00672DC7" w:rsidRPr="00672DC7" w:rsidRDefault="00672DC7">
      <w:pPr>
        <w:rPr>
          <w:b/>
        </w:rPr>
      </w:pPr>
      <w:r w:rsidRPr="00672DC7">
        <w:rPr>
          <w:b/>
        </w:rPr>
        <w:t>Życie wieczne – tapiseria figuralna, pocz. XVII w.</w:t>
      </w:r>
    </w:p>
    <w:p w14:paraId="218ABA92" w14:textId="77777777" w:rsidR="0075585D" w:rsidRDefault="003B6445" w:rsidP="0075585D">
      <w:r>
        <w:t>Sztuka doby</w:t>
      </w:r>
      <w:r w:rsidR="0075585D">
        <w:t xml:space="preserve"> barok</w:t>
      </w:r>
      <w:r>
        <w:t>u</w:t>
      </w:r>
      <w:r w:rsidR="0075585D">
        <w:t xml:space="preserve"> chętnie posługiwała się motywami</w:t>
      </w:r>
      <w:r w:rsidR="00672DC7">
        <w:t xml:space="preserve"> </w:t>
      </w:r>
      <w:r w:rsidR="0075585D">
        <w:t>niosącymi</w:t>
      </w:r>
      <w:r w:rsidR="00672DC7">
        <w:t xml:space="preserve"> znaczenie symboliczne</w:t>
      </w:r>
      <w:r>
        <w:t>, zrozumiałymi</w:t>
      </w:r>
      <w:r w:rsidR="0075585D">
        <w:t xml:space="preserve"> przez ówczesnych odbiorców. Bordiurę</w:t>
      </w:r>
      <w:r w:rsidR="00175885">
        <w:t>,</w:t>
      </w:r>
      <w:r w:rsidR="0075585D">
        <w:t xml:space="preserve"> czyli dekoracyjne obramienie środkowej sceny </w:t>
      </w:r>
      <w:r>
        <w:t xml:space="preserve">tej </w:t>
      </w:r>
      <w:r w:rsidR="0075585D">
        <w:t xml:space="preserve">tapiserii, zdobią postaci czterech kobiet. To personifikacje </w:t>
      </w:r>
      <w:r>
        <w:t xml:space="preserve">chrześcijańskich </w:t>
      </w:r>
      <w:r w:rsidR="0075585D">
        <w:t>cnót: Sprawiedliwości, Wiary, Męstwa i Roztropności.</w:t>
      </w:r>
    </w:p>
    <w:p w14:paraId="622449A8" w14:textId="5749BD15" w:rsidR="0075585D" w:rsidRDefault="00733A78" w:rsidP="0075585D">
      <w:r>
        <w:t>Na podstawie atrybutów spróbuj</w:t>
      </w:r>
      <w:r w:rsidR="00C765B6">
        <w:t xml:space="preserve"> rozpoznać cnoty uosabiane przez poszczególne postaci.</w:t>
      </w:r>
    </w:p>
    <w:p w14:paraId="252A8AF9" w14:textId="77777777" w:rsidR="00733A78" w:rsidRPr="00733A78" w:rsidRDefault="00733A78" w:rsidP="0075585D">
      <w:pPr>
        <w:rPr>
          <w:color w:val="FF0000"/>
        </w:rPr>
      </w:pPr>
      <w:r w:rsidRPr="00733A78">
        <w:rPr>
          <w:color w:val="FF0000"/>
        </w:rPr>
        <w:t xml:space="preserve">[osobno wyszczególnione np. </w:t>
      </w:r>
      <w:r w:rsidR="00BC258F">
        <w:rPr>
          <w:color w:val="FF0000"/>
        </w:rPr>
        <w:t>w ramce/dymku – można zainspirować się oprawą kartusza herbowego lub kartusza z napisem</w:t>
      </w:r>
      <w:r w:rsidRPr="00733A78">
        <w:rPr>
          <w:color w:val="FF0000"/>
        </w:rPr>
        <w:t>]</w:t>
      </w:r>
    </w:p>
    <w:p w14:paraId="6C223D3C" w14:textId="77777777" w:rsidR="00672DC7" w:rsidRDefault="0075585D">
      <w:r w:rsidRPr="00BC258F">
        <w:rPr>
          <w:b/>
        </w:rPr>
        <w:t>Personifikacja</w:t>
      </w:r>
      <w:r>
        <w:t xml:space="preserve"> – sposób przedstawienia abstrakcyjnego pojęcia pod </w:t>
      </w:r>
      <w:r w:rsidR="00BC258F">
        <w:t>postacią ludzką. Personifikacja posiada</w:t>
      </w:r>
      <w:r>
        <w:t xml:space="preserve"> </w:t>
      </w:r>
      <w:r w:rsidR="00BC258F">
        <w:t xml:space="preserve">atrybuty - </w:t>
      </w:r>
      <w:r>
        <w:t>przedmioty lub elementy stroju</w:t>
      </w:r>
      <w:r w:rsidR="00BC258F" w:rsidRPr="00BC258F">
        <w:t xml:space="preserve"> </w:t>
      </w:r>
      <w:r w:rsidR="00BC258F">
        <w:t>pozwalające ją zidentyfikować</w:t>
      </w:r>
      <w:r>
        <w:t>.</w:t>
      </w:r>
    </w:p>
    <w:p w14:paraId="78940B46" w14:textId="77777777" w:rsidR="00672DC7" w:rsidRPr="00733A78" w:rsidRDefault="00BC258F">
      <w:pPr>
        <w:rPr>
          <w:color w:val="FF0000"/>
        </w:rPr>
      </w:pPr>
      <w:r>
        <w:rPr>
          <w:color w:val="FF0000"/>
        </w:rPr>
        <w:t>[</w:t>
      </w:r>
      <w:r w:rsidR="00672DC7" w:rsidRPr="0075585D">
        <w:rPr>
          <w:color w:val="FF0000"/>
        </w:rPr>
        <w:t xml:space="preserve">wyjęte </w:t>
      </w:r>
      <w:r>
        <w:rPr>
          <w:color w:val="FF0000"/>
        </w:rPr>
        <w:t xml:space="preserve">z personifikacji i </w:t>
      </w:r>
      <w:r w:rsidR="00672DC7" w:rsidRPr="0075585D">
        <w:rPr>
          <w:color w:val="FF0000"/>
        </w:rPr>
        <w:t>wyrysowane motywy</w:t>
      </w:r>
      <w:r w:rsidR="0075585D" w:rsidRPr="0075585D">
        <w:rPr>
          <w:color w:val="FF0000"/>
        </w:rPr>
        <w:t>:</w:t>
      </w:r>
      <w:r>
        <w:rPr>
          <w:color w:val="FF0000"/>
        </w:rPr>
        <w:t xml:space="preserve"> </w:t>
      </w:r>
      <w:r w:rsidR="0075585D" w:rsidRPr="0075585D">
        <w:rPr>
          <w:color w:val="FF0000"/>
        </w:rPr>
        <w:t>miecz i waga</w:t>
      </w:r>
      <w:r>
        <w:rPr>
          <w:color w:val="FF0000"/>
        </w:rPr>
        <w:t>;</w:t>
      </w:r>
      <w:r w:rsidR="0075585D" w:rsidRPr="0075585D">
        <w:rPr>
          <w:color w:val="FF0000"/>
        </w:rPr>
        <w:t xml:space="preserve"> kolumna i hełm</w:t>
      </w:r>
      <w:r>
        <w:rPr>
          <w:color w:val="FF0000"/>
        </w:rPr>
        <w:t xml:space="preserve">; </w:t>
      </w:r>
      <w:r w:rsidR="0075585D" w:rsidRPr="0075585D">
        <w:rPr>
          <w:color w:val="FF0000"/>
        </w:rPr>
        <w:t>krzyż i kielich</w:t>
      </w:r>
      <w:r>
        <w:rPr>
          <w:color w:val="FF0000"/>
        </w:rPr>
        <w:t xml:space="preserve">; </w:t>
      </w:r>
      <w:r w:rsidR="0075585D" w:rsidRPr="0075585D">
        <w:rPr>
          <w:color w:val="FF0000"/>
        </w:rPr>
        <w:t>wąż</w:t>
      </w:r>
      <w:r w:rsidR="00672DC7" w:rsidRPr="0075585D">
        <w:rPr>
          <w:color w:val="FF0000"/>
        </w:rPr>
        <w:t>]</w:t>
      </w:r>
    </w:p>
    <w:p w14:paraId="62816C98" w14:textId="77777777" w:rsidR="0075585D" w:rsidRDefault="00733A78">
      <w:pPr>
        <w:rPr>
          <w:color w:val="FF0000"/>
        </w:rPr>
      </w:pPr>
      <w:r w:rsidRPr="00733A78">
        <w:rPr>
          <w:color w:val="FF0000"/>
        </w:rPr>
        <w:t>[Poniżej</w:t>
      </w:r>
      <w:r w:rsidR="00BC258F">
        <w:rPr>
          <w:color w:val="FF0000"/>
        </w:rPr>
        <w:t xml:space="preserve"> całego zadania i grafiki, „na marginesie” karty</w:t>
      </w:r>
      <w:r w:rsidRPr="00733A78">
        <w:rPr>
          <w:color w:val="FF0000"/>
        </w:rPr>
        <w:t>, do góry nogami</w:t>
      </w:r>
      <w:r>
        <w:rPr>
          <w:color w:val="FF0000"/>
        </w:rPr>
        <w:t>, małym drukiem</w:t>
      </w:r>
      <w:r w:rsidRPr="00733A78">
        <w:rPr>
          <w:color w:val="FF0000"/>
        </w:rPr>
        <w:t>]</w:t>
      </w:r>
      <w:r>
        <w:rPr>
          <w:color w:val="FF0000"/>
        </w:rPr>
        <w:t>:</w:t>
      </w:r>
    </w:p>
    <w:p w14:paraId="1A300047" w14:textId="42E7A865" w:rsidR="00733A78" w:rsidRPr="00733A78" w:rsidRDefault="00733A78" w:rsidP="00733A78">
      <w:pPr>
        <w:jc w:val="both"/>
      </w:pPr>
      <w:r>
        <w:t xml:space="preserve">Podpowiedzi: Sprawiedliwość – waga </w:t>
      </w:r>
      <w:r w:rsidR="00BC258F">
        <w:t xml:space="preserve">oznaczająca ważenie argumentów w celu wydania sprawiedliwego wyroku </w:t>
      </w:r>
      <w:r>
        <w:t>i miecz do wymierzania kary; Męstwo – kolumna sugerująca siłę i stałość oraz hełm; Wiara – krzyż i kielich; Roztropność – wąż nawiązujący do słów Chrystusa do Apostołów „bądźcie roztropni jak węż</w:t>
      </w:r>
      <w:r w:rsidR="00A13FB7">
        <w:t>e</w:t>
      </w:r>
      <w:r>
        <w:t>, a</w:t>
      </w:r>
      <w:r w:rsidR="00BC258F">
        <w:t xml:space="preserve"> nieskazitelni jak gołębie” (Mt</w:t>
      </w:r>
      <w:r>
        <w:t>,10, 16).</w:t>
      </w:r>
    </w:p>
    <w:sectPr w:rsidR="00733A78" w:rsidRPr="00733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E5442" w14:textId="77777777" w:rsidR="00254CD0" w:rsidRDefault="00254CD0" w:rsidP="003B6445">
      <w:pPr>
        <w:spacing w:after="0" w:line="240" w:lineRule="auto"/>
      </w:pPr>
      <w:r>
        <w:separator/>
      </w:r>
    </w:p>
  </w:endnote>
  <w:endnote w:type="continuationSeparator" w:id="0">
    <w:p w14:paraId="1A7FD23F" w14:textId="77777777" w:rsidR="00254CD0" w:rsidRDefault="00254CD0" w:rsidP="003B6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03A50" w14:textId="77777777" w:rsidR="00254CD0" w:rsidRDefault="00254CD0" w:rsidP="003B6445">
      <w:pPr>
        <w:spacing w:after="0" w:line="240" w:lineRule="auto"/>
      </w:pPr>
      <w:r>
        <w:separator/>
      </w:r>
    </w:p>
  </w:footnote>
  <w:footnote w:type="continuationSeparator" w:id="0">
    <w:p w14:paraId="2202922D" w14:textId="77777777" w:rsidR="00254CD0" w:rsidRDefault="00254CD0" w:rsidP="003B6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C7"/>
    <w:rsid w:val="000E676B"/>
    <w:rsid w:val="00175885"/>
    <w:rsid w:val="00254CD0"/>
    <w:rsid w:val="003B6445"/>
    <w:rsid w:val="00672DC7"/>
    <w:rsid w:val="006B551E"/>
    <w:rsid w:val="00733A78"/>
    <w:rsid w:val="0075585D"/>
    <w:rsid w:val="00A13FB7"/>
    <w:rsid w:val="00B75CDE"/>
    <w:rsid w:val="00BC258F"/>
    <w:rsid w:val="00C7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F3CA4"/>
  <w15:chartTrackingRefBased/>
  <w15:docId w15:val="{B03A6481-AEC1-4D47-B80F-0654125A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6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6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64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5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88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5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58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8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Płuciniczak</dc:creator>
  <cp:keywords/>
  <dc:description/>
  <cp:lastModifiedBy>Marek Płuciniczak</cp:lastModifiedBy>
  <cp:revision>3</cp:revision>
  <dcterms:created xsi:type="dcterms:W3CDTF">2022-09-13T08:11:00Z</dcterms:created>
  <dcterms:modified xsi:type="dcterms:W3CDTF">2022-09-13T08:13:00Z</dcterms:modified>
</cp:coreProperties>
</file>